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650" w:rsidRDefault="00A02029">
      <w:pPr>
        <w:shd w:val="clear" w:color="auto" w:fill="FFFFFF"/>
        <w:spacing w:after="0" w:line="276" w:lineRule="auto"/>
        <w:ind w:left="-567" w:firstLine="85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Памятка о правилах проведения ГИА-9 </w:t>
      </w:r>
    </w:p>
    <w:p w:rsidR="00965650" w:rsidRDefault="00A02029">
      <w:pPr>
        <w:shd w:val="clear" w:color="auto" w:fill="FFFFFF"/>
        <w:spacing w:after="0" w:line="276" w:lineRule="auto"/>
        <w:ind w:left="-567" w:firstLine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(для ознакомления участников ГИА и их родителей (законных представителей) под подпись </w:t>
      </w:r>
    </w:p>
    <w:p w:rsidR="00965650" w:rsidRDefault="00965650">
      <w:pPr>
        <w:shd w:val="clear" w:color="auto" w:fill="FFFFFF"/>
        <w:spacing w:after="0" w:line="276" w:lineRule="auto"/>
        <w:ind w:left="-567"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965650" w:rsidRDefault="00A0202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информация о ГИА:</w:t>
      </w:r>
    </w:p>
    <w:p w:rsidR="00965650" w:rsidRDefault="00A0202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Государственная итоговая аттестация по образовательным программам основного общего образования</w:t>
      </w:r>
      <w:r w:rsidR="009A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ГИА-9) для выпускников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IX классов проводится в форме ОГЭ (ОГЭ - основной государственный экзамен) и/или ГВЭ (государственный выпускной экзамен).</w:t>
      </w:r>
    </w:p>
    <w:p w:rsidR="00965650" w:rsidRDefault="00A0202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2.ГИА</w:t>
      </w:r>
      <w:r w:rsidR="009A53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-9 включает в себя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четыре экзамена: </w:t>
      </w:r>
    </w:p>
    <w:p w:rsidR="00965650" w:rsidRDefault="00A02029">
      <w:pPr>
        <w:pStyle w:val="a3"/>
        <w:numPr>
          <w:ilvl w:val="0"/>
          <w:numId w:val="1"/>
        </w:numPr>
        <w:shd w:val="clear" w:color="auto" w:fill="FFFFFF"/>
        <w:tabs>
          <w:tab w:val="left" w:pos="850"/>
        </w:tabs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Русский язык</w:t>
      </w:r>
    </w:p>
    <w:p w:rsidR="00965650" w:rsidRDefault="00A02029">
      <w:pPr>
        <w:pStyle w:val="a3"/>
        <w:numPr>
          <w:ilvl w:val="0"/>
          <w:numId w:val="1"/>
        </w:numPr>
        <w:shd w:val="clear" w:color="auto" w:fill="FFFFFF"/>
        <w:tabs>
          <w:tab w:val="left" w:pos="850"/>
        </w:tabs>
        <w:spacing w:after="0" w:line="276" w:lineRule="auto"/>
        <w:ind w:left="567" w:firstLine="0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Математика</w:t>
      </w:r>
    </w:p>
    <w:p w:rsidR="00965650" w:rsidRDefault="00A02029">
      <w:pPr>
        <w:pStyle w:val="a3"/>
        <w:numPr>
          <w:ilvl w:val="0"/>
          <w:numId w:val="1"/>
        </w:numPr>
        <w:shd w:val="clear" w:color="auto" w:fill="FFFFFF"/>
        <w:tabs>
          <w:tab w:val="left" w:pos="850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2 предмета по выбору: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«Биология», «География», «Иностранные языки» (английский, испанский, немецкий и французский), «Информатика», «История», «Литература», «Обществознание», «Физика», «Химия»</w:t>
      </w:r>
    </w:p>
    <w:p w:rsidR="00965650" w:rsidRDefault="00A02029">
      <w:pPr>
        <w:shd w:val="clear" w:color="auto" w:fill="FFFFFF"/>
        <w:spacing w:after="0" w:line="276" w:lineRule="auto"/>
        <w:ind w:firstLine="567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 ГИА допускаются обучающие, не имеющие академической задолженности, в полном объеме выполнившие учебный план (имеющие годовые учебные отметки за IX класс не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удовлетворительных).</w:t>
      </w:r>
      <w:r>
        <w:rPr>
          <w:rFonts w:ascii="Times New Roman" w:hAnsi="Times New Roman" w:cs="Times New Roman"/>
          <w:sz w:val="28"/>
          <w:szCs w:val="28"/>
        </w:rPr>
        <w:t xml:space="preserve"> Экстерны допускаются к ГИА при условии получения на промежуточной атт</w:t>
      </w:r>
      <w:r>
        <w:rPr>
          <w:rFonts w:ascii="Times New Roman" w:hAnsi="Times New Roman" w:cs="Times New Roman"/>
          <w:sz w:val="28"/>
          <w:szCs w:val="28"/>
        </w:rPr>
        <w:t>естации отметок не ниже удовлетворительных. Обучающиеся и экстерны допускаются к ГИА-9 при наличии результата «зачёт» за итоговое собеседование по русскому языку.</w:t>
      </w:r>
    </w:p>
    <w:p w:rsidR="00965650" w:rsidRDefault="00A0202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Заявление для участия в ГИА подается в школе – до 01 марта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(включительно)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5650" w:rsidRDefault="00A02029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Расписание 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кзаменов ГИА-9 утверждается ежегодно на федеральном уровне совместными приказами Министерства просвещения Российской Федерации и Федеральной службы по надзору в сфере образования и науки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65650" w:rsidRDefault="00A0202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В целях обеспечения безопасности, обеспечения порядка проведения и предотвращения фактов нарушения порядка проведения ГИА-9 пункты проведения экзаменов (ППЭ) оборудованы стационарными и/или переносными металлоискателями, системами видеонаблюдения и сист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емами подавления сигналов подвижной связи.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ГИА-9 по всем учебным предметам начинается в 10.00.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8. Результаты экзаменов по каждому учебному предмету утверждаются, изменяются и (или) аннулируются председателем государственной экзаменационной комиссии по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бразовательным программам основного общего образования (ГЭК-9) Камчатского края.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9. Результаты ГИА-9 признаются удовлетворительными в случае, если участник ГИА по сдаваемым учебным предметам набрал минимальное количество первичных баллов, определенное при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казом Министерства образования Камчатского края.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10. Обработка экзаменационных работ и утверждение результатов ГИА-9 в Камчатском крае осуществляется в соответствии с региональным графиком </w:t>
      </w:r>
      <w:r>
        <w:rPr>
          <w:rFonts w:ascii="Times New Roman" w:hAnsi="Times New Roman" w:cs="Times New Roman"/>
          <w:sz w:val="28"/>
          <w:szCs w:val="28"/>
        </w:rPr>
        <w:t xml:space="preserve">обработки экзаменационных материалов (ежегодно утверждается приказом Министерства образования Камчатского края).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Ознакомление участников ГИА с утвержденными председателем ГЭК результатами ГИА</w:t>
      </w:r>
      <w:r>
        <w:rPr>
          <w:rFonts w:ascii="Times New Roman" w:hAnsi="Times New Roman" w:cs="Times New Roman"/>
          <w:sz w:val="28"/>
          <w:szCs w:val="28"/>
        </w:rPr>
        <w:t xml:space="preserve">-9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 учебному предмету осуществляется в течение одного рабочего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дня со дня их передачи в образовательные организации (передача осуществляется посредством АРМ в составе ГИС «Сетевой город»). Указанный день считается 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официальным днем объявления результатов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965650" w:rsidRDefault="00A0202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709"/>
        </w:tabs>
        <w:spacing w:after="17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Предварительная информация о дате, являющейся официальным днём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объявления результатов ГИА-9 публикуется на сайте </w:t>
      </w:r>
      <w:hyperlink r:id="rId7" w:tooltip="https://www.gia41.ru/" w:history="1">
        <w:r>
          <w:rPr>
            <w:rStyle w:val="af1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https://www.gia41.ru/</w:t>
        </w:r>
      </w:hyperlink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разделе «</w:t>
      </w:r>
      <w:hyperlink r:id="rId8" w:tooltip="https://www.gia41.ru/gia9.htm" w:history="1">
        <w:r>
          <w:rPr>
            <w:rStyle w:val="af1"/>
            <w:rFonts w:ascii="Times New Roman" w:eastAsia="Segoe UI" w:hAnsi="Times New Roman" w:cs="Times New Roman"/>
            <w:color w:val="000000"/>
            <w:sz w:val="28"/>
            <w:szCs w:val="28"/>
          </w:rPr>
          <w:t>ГИА-9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eastAsia="Segoe UI" w:hAnsi="Times New Roman" w:cs="Times New Roman"/>
          <w:color w:val="000000"/>
          <w:sz w:val="28"/>
          <w:szCs w:val="28"/>
        </w:rPr>
        <w:t>Даты объявления рез</w:t>
      </w:r>
      <w:r>
        <w:rPr>
          <w:rFonts w:ascii="Times New Roman" w:eastAsia="Segoe UI" w:hAnsi="Times New Roman" w:cs="Times New Roman"/>
          <w:color w:val="000000"/>
          <w:sz w:val="28"/>
          <w:szCs w:val="28"/>
        </w:rPr>
        <w:t>ультатов и подачи апелляций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Обязанности участника экзамена в рамках участия в ГИА: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день экзамена участник экзамена должен прибыть в ППЭ заблаговременно. Вход участников экзамена в ППЭ начинается с 09.00 по местному времени.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Допуск участников экзамена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Если участник экзамена опоздал на экзамен, он допускается к сдаче ГИА в установленном по</w:t>
      </w:r>
      <w:r>
        <w:rPr>
          <w:rFonts w:ascii="Times New Roman" w:hAnsi="Times New Roman" w:cs="Times New Roman"/>
          <w:sz w:val="28"/>
          <w:szCs w:val="28"/>
        </w:rPr>
        <w:t xml:space="preserve">рядке, при этом время окончания экзамена не продлевается, о чем сообщается участнику экзамена.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случае проведения ГИА по русскому языку (часть 1– изложение), по иностранным языкам (письменная часть, раздел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») допуск опоздавших участников экза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мена в аудиторию после включения аудиозаписи не осуществляется (за исключением, если в аудитории нет других участников или если участники ГИА в аудитории завершили прослушивание аудиозаписи). Персональное прослушивание изложения 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опоздавши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х участников экзамена не проводится (за исключением случая, когда в аудитории нет других участников экзамена).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 проведении ГВЭ в форме изложения или в форме диктанта опоздавшие участники не допускаются в аудиторию до момента окончания прочтения текста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изложения или диктанта, за исключением, если в аудитории нет других участников.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Повторный общий инструктаж для опоздавших участников экзамена не проводится.</w:t>
      </w:r>
      <w:r>
        <w:rPr>
          <w:rFonts w:ascii="Times New Roman" w:hAnsi="Times New Roman" w:cs="Times New Roman"/>
          <w:sz w:val="28"/>
          <w:szCs w:val="28"/>
        </w:rPr>
        <w:t xml:space="preserve"> Организаторы предоставляют необходимую информацию для заполнения регистрационных полей бланков ГИА</w:t>
      </w:r>
      <w:r>
        <w:rPr>
          <w:rFonts w:ascii="Times New Roman" w:hAnsi="Times New Roman" w:cs="Times New Roman"/>
          <w:sz w:val="28"/>
          <w:szCs w:val="28"/>
        </w:rPr>
        <w:t xml:space="preserve">. В случае отсутствия по объективным причинам у участника экзамена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Экзаменационная работа выполняется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В день проведения экзамена в ППЭ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участникам экзамена запрещается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bCs/>
          <w:sz w:val="28"/>
          <w:szCs w:val="28"/>
        </w:rPr>
        <w:t>меть при себе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средства связи, электронно-вычислительную технику,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фото-, аудио- и видеоаппаратуру,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справочные материалы, письменные заметки и иные средства хранения и передачи информации.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Запрещено выносить из аудиторий письменные заметки и иные средства хранени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время экзамена на рабочем столе участника ГИА-9, помимо экзаменационных материалов, могут находиться: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гелевая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капиллярная ручка с чернилами черного цвета;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документ, удостоверяющий личность;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лекарства и питание (при необходимости</w:t>
      </w:r>
      <w:r>
        <w:rPr>
          <w:rStyle w:val="af4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листы </w:t>
      </w:r>
      <w:r>
        <w:rPr>
          <w:rFonts w:ascii="Times New Roman" w:hAnsi="Times New Roman" w:cs="Times New Roman"/>
          <w:sz w:val="28"/>
          <w:szCs w:val="28"/>
        </w:rPr>
        <w:t xml:space="preserve">бумаги для черновиков (за исключением ОГЭ по иностранным языкам (раздел «Говорение»);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обучения и воспитания, разрешенные для использования на экзамене по отдельным учебным предметам (утверждаются приказом Министерства просвещения.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Участники </w:t>
      </w:r>
      <w:r>
        <w:rPr>
          <w:rFonts w:ascii="Times New Roman" w:hAnsi="Times New Roman" w:cs="Times New Roman"/>
          <w:sz w:val="28"/>
          <w:szCs w:val="28"/>
        </w:rPr>
        <w:t xml:space="preserve">экзамена занимают рабочие места в аудитории в соответствии со списками распределения. Изменение рабочего места запрещено.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Во время экзамена участникам экзамена запрещается общаться друг с другом, свободно перемещаться по аудитории и ППЭ, выходить из ау</w:t>
      </w:r>
      <w:r>
        <w:rPr>
          <w:rFonts w:ascii="Times New Roman" w:hAnsi="Times New Roman" w:cs="Times New Roman"/>
          <w:sz w:val="28"/>
          <w:szCs w:val="28"/>
        </w:rPr>
        <w:t xml:space="preserve">дитории без разрешения организатора. При выходе из аудитории во время экзамена участник экзамена должен оставить экзаменационные материалы, черновики и письменные принадлежности на рабочем столе. </w:t>
      </w:r>
    </w:p>
    <w:p w:rsidR="00965650" w:rsidRDefault="00A020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Участники экзамена, допустившие нарушение указанных треб</w:t>
      </w:r>
      <w:r>
        <w:rPr>
          <w:rFonts w:ascii="Times New Roman" w:hAnsi="Times New Roman" w:cs="Times New Roman"/>
          <w:sz w:val="28"/>
          <w:szCs w:val="28"/>
        </w:rPr>
        <w:t>ований или иные нарушения Порядка, удаляются с экзамена. Акт об удалении с экзамена составляется в помещении для руководителя ППЭ в присутствии члена ГЭК, руководителя ППЭ, организатора, общественного наблюдателя (при наличии). Для этого организаторы, руко</w:t>
      </w:r>
      <w:r>
        <w:rPr>
          <w:rFonts w:ascii="Times New Roman" w:hAnsi="Times New Roman" w:cs="Times New Roman"/>
          <w:sz w:val="28"/>
          <w:szCs w:val="28"/>
        </w:rPr>
        <w:t>водитель ППЭ или общественные наблюдатели приглашают члена ГЭК, который составляет Акт об удалении с экзамена и удаляет лиц, нарушивших Порядок, из ППЭ. Организатор ставит в соответствующем поле бланка участника ГИА необходимую отметку. Акт об удалении с э</w:t>
      </w:r>
      <w:r>
        <w:rPr>
          <w:rFonts w:ascii="Times New Roman" w:hAnsi="Times New Roman" w:cs="Times New Roman"/>
          <w:sz w:val="28"/>
          <w:szCs w:val="28"/>
        </w:rPr>
        <w:t xml:space="preserve">кзамена составляется в двух экземплярах. Первый экземпляр акта выдается лицу, нарушившему Порядок,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 </w:t>
      </w:r>
    </w:p>
    <w:p w:rsidR="00965650" w:rsidRDefault="009656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5650" w:rsidRDefault="009656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Права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участника экзамена в рамках участия в ГИА: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Участник экзамена может при выполнении работы использовать черновики, выдаваемые образовательной организацией, на базе которой организован ППЭ, и делать пометки в КИМ </w:t>
      </w:r>
      <w:r>
        <w:rPr>
          <w:rFonts w:ascii="Times New Roman" w:hAnsi="Times New Roman" w:cs="Times New Roman"/>
          <w:i/>
          <w:iCs/>
          <w:sz w:val="28"/>
          <w:szCs w:val="28"/>
        </w:rPr>
        <w:t>(в случае проведения ГИА по иностранным яз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ыкам (раздел «Говорение») черновики не выдаются).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Внимание! Черновики и КИМ не проверяются и записи в них не учитываются при обработке и оценивании.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Участник экзамена, который по состоянию здоровья или другим объективным причинам не может завершить вы</w:t>
      </w:r>
      <w:r>
        <w:rPr>
          <w:rFonts w:ascii="Times New Roman" w:hAnsi="Times New Roman" w:cs="Times New Roman"/>
          <w:sz w:val="28"/>
          <w:szCs w:val="28"/>
        </w:rPr>
        <w:t>полнение экзаменационной работы, имеет право досрочно сдать экзаменационные материалы и покинуть аудиторию. В этом случае участник экзамена в сопровождении организатора проходит в медицинский кабинет, куда приглашается член ГЭК. При согласии участника экза</w:t>
      </w:r>
      <w:r>
        <w:rPr>
          <w:rFonts w:ascii="Times New Roman" w:hAnsi="Times New Roman" w:cs="Times New Roman"/>
          <w:sz w:val="28"/>
          <w:szCs w:val="28"/>
        </w:rPr>
        <w:t xml:space="preserve">мена досрочно завершить экзамен составляется Акт о досрочном завершении экзамена по объективным причинам. В дальнейшем участник экзамена по решению председателя ГЭК сможет сдать экзамен по данному предмету в резервные сроки.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Участники экзаменов, досроч</w:t>
      </w:r>
      <w:r>
        <w:rPr>
          <w:rFonts w:ascii="Times New Roman" w:hAnsi="Times New Roman" w:cs="Times New Roman"/>
          <w:sz w:val="28"/>
          <w:szCs w:val="28"/>
        </w:rPr>
        <w:t xml:space="preserve">но завершившие выполнение экзаменационной работы, могут покинуть ППЭ. Организаторы принимают у них все экзаменационные материалы.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Участникам экзаменов, не прошедшим ГИА или получившим на ГИА неудовлетворительн</w:t>
      </w:r>
      <w:r w:rsidR="009A533D">
        <w:rPr>
          <w:rFonts w:ascii="Times New Roman" w:hAnsi="Times New Roman" w:cs="Times New Roman"/>
          <w:sz w:val="28"/>
          <w:szCs w:val="28"/>
        </w:rPr>
        <w:t xml:space="preserve">ые результаты более чем по двум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учебным пре</w:t>
      </w:r>
      <w:r>
        <w:rPr>
          <w:rFonts w:ascii="Times New Roman" w:hAnsi="Times New Roman" w:cs="Times New Roman"/>
          <w:sz w:val="28"/>
          <w:szCs w:val="28"/>
        </w:rPr>
        <w:t>дметам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получившим повторно неудовлетворительный результат по одному или двум учебным предметам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</w:t>
      </w:r>
      <w:r>
        <w:rPr>
          <w:rFonts w:ascii="Times New Roman" w:hAnsi="Times New Roman" w:cs="Times New Roman"/>
          <w:sz w:val="28"/>
          <w:szCs w:val="28"/>
        </w:rPr>
        <w:t xml:space="preserve">а в сроки и формах, устанавливаемых Порядком.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Участникам экзаменов, проходящим ГИА только по обязательным учебным предметам, не прошедшим ГИА или получившим на ГИА неудовлетворительные результаты более чем по одному обязательному учебному предмету, либ</w:t>
      </w:r>
      <w:r>
        <w:rPr>
          <w:rFonts w:ascii="Times New Roman" w:hAnsi="Times New Roman" w:cs="Times New Roman"/>
          <w:sz w:val="28"/>
          <w:szCs w:val="28"/>
        </w:rPr>
        <w:t>о получившим</w:t>
      </w:r>
      <w:r w:rsidR="009A533D">
        <w:rPr>
          <w:rFonts w:ascii="Times New Roman" w:hAnsi="Times New Roman" w:cs="Times New Roman"/>
          <w:sz w:val="28"/>
          <w:szCs w:val="28"/>
        </w:rPr>
        <w:t xml:space="preserve"> повторно неудовлетворительный </w:t>
      </w:r>
      <w:r>
        <w:rPr>
          <w:rFonts w:ascii="Times New Roman" w:hAnsi="Times New Roman" w:cs="Times New Roman"/>
          <w:sz w:val="28"/>
          <w:szCs w:val="28"/>
        </w:rPr>
        <w:t>результат по одному из этих предметов на ГИА в резервные сроки, предоставляется право пройти ГИА по соответствующим учебным предметам в дополнительный период, но не ранее 1 сентября текущего года в сроки и формах</w:t>
      </w:r>
      <w:r>
        <w:rPr>
          <w:rFonts w:ascii="Times New Roman" w:hAnsi="Times New Roman" w:cs="Times New Roman"/>
          <w:sz w:val="28"/>
          <w:szCs w:val="28"/>
        </w:rPr>
        <w:t xml:space="preserve">, устанавливаемых Порядком.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Участник экзамена имеет право подать апелляцию о нарушении установленного Порядка проведения ГИА и (или) о несогласии с выставленными баллами в конфликтную комиссию.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Конфликтная комиссия не рассматривает апелляции по вопрос</w:t>
      </w:r>
      <w:r>
        <w:rPr>
          <w:rFonts w:ascii="Times New Roman" w:hAnsi="Times New Roman" w:cs="Times New Roman"/>
          <w:sz w:val="28"/>
          <w:szCs w:val="28"/>
        </w:rPr>
        <w:t>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экзамена требований Порядка или неправильным оформлением экз</w:t>
      </w:r>
      <w:r>
        <w:rPr>
          <w:rFonts w:ascii="Times New Roman" w:hAnsi="Times New Roman" w:cs="Times New Roman"/>
          <w:sz w:val="28"/>
          <w:szCs w:val="28"/>
        </w:rPr>
        <w:t xml:space="preserve">аменационной работы.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Конфликтная комиссия не позднее чем за один рабочий день до даты рассмотрения апелляции информирует участников ГИА, подавших апелляции, о времени и месте их рассмотрения.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Обучающийся и (или) его родители (законные представители) при желании присутствуют при рассмотрении апелляции.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Апелляцию о нарушении установленного порядка проведения ГИА участник экзамена подает в день проведения экзамена члену ГЭК, не покидая ППЭ.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</w:t>
      </w:r>
      <w:r>
        <w:rPr>
          <w:rFonts w:ascii="Times New Roman" w:hAnsi="Times New Roman" w:cs="Times New Roman"/>
          <w:sz w:val="28"/>
          <w:szCs w:val="28"/>
        </w:rPr>
        <w:t>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организаторов, технических специалистов, специалистов по проведению инструктажа и обеспечению лабораторных работ, экзаме</w:t>
      </w:r>
      <w:r>
        <w:rPr>
          <w:rFonts w:ascii="Times New Roman" w:hAnsi="Times New Roman" w:cs="Times New Roman"/>
          <w:sz w:val="28"/>
          <w:szCs w:val="28"/>
        </w:rPr>
        <w:t>наторов-собеседников, экспертов, оценивающих выполнение лабораторных работ по химии, не задействованных в аудитории, в которой сдавал экзамен участник ГИА, подавший апелляцию, общественных наблюдателей, сотрудников, осуществляющих охрану правопорядка и (ил</w:t>
      </w:r>
      <w:r>
        <w:rPr>
          <w:rFonts w:ascii="Times New Roman" w:hAnsi="Times New Roman" w:cs="Times New Roman"/>
          <w:sz w:val="28"/>
          <w:szCs w:val="28"/>
        </w:rPr>
        <w:t xml:space="preserve">и) сотрудников органов внутренних дел (полиции), медицинских работников, а также ассистентов. Результаты проверки оформляются в форме заключения. Заключение о результатах проверки в тот же день передаются членом ГЭК.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отклонении апелляции;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удовлетворении апелляции.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удовлетвор</w:t>
      </w:r>
      <w:r>
        <w:rPr>
          <w:rFonts w:ascii="Times New Roman" w:hAnsi="Times New Roman" w:cs="Times New Roman"/>
          <w:sz w:val="28"/>
          <w:szCs w:val="28"/>
        </w:rPr>
        <w:t>ении апелляции результат ГИА, по процедуре которого участником экзамена была подана апелляция,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(со</w:t>
      </w:r>
      <w:r>
        <w:rPr>
          <w:rFonts w:ascii="Times New Roman" w:hAnsi="Times New Roman" w:cs="Times New Roman"/>
          <w:sz w:val="28"/>
          <w:szCs w:val="28"/>
        </w:rPr>
        <w:t xml:space="preserve">ответствующим учебным предметам) в резервные сроки.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Апелляция о несогласии с выставленными баллами подается в течение двух рабочих дней, следующих за официальным днем объявления результатов ГИА по соответствующему учебному предмету. </w:t>
      </w:r>
      <w:r>
        <w:rPr>
          <w:rFonts w:ascii="Times New Roman" w:hAnsi="Times New Roman" w:cs="Times New Roman"/>
          <w:sz w:val="28"/>
          <w:szCs w:val="28"/>
        </w:rPr>
        <w:t>Обучающиеся подают апе</w:t>
      </w:r>
      <w:r>
        <w:rPr>
          <w:rFonts w:ascii="Times New Roman" w:hAnsi="Times New Roman" w:cs="Times New Roman"/>
          <w:sz w:val="28"/>
          <w:szCs w:val="28"/>
        </w:rPr>
        <w:t xml:space="preserve">лляцию о несогласии с выставленными баллами в образовательную организацию, которой они были допущены к ГИА, или непосредственно в конфликтную комиссию.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рассмотрении апелляции о несогласии с выставленными баллами конфликтная комиссия запрашивает распеч</w:t>
      </w:r>
      <w:r>
        <w:rPr>
          <w:rFonts w:ascii="Times New Roman" w:hAnsi="Times New Roman" w:cs="Times New Roman"/>
          <w:sz w:val="28"/>
          <w:szCs w:val="28"/>
        </w:rPr>
        <w:t>атанные изображения экзаменационной работы, электронные носители, содержащие файлы с цифровой аудиозаписью устных ответов участников ГИА, протоколы устных ответов участника экзамена, копии протоколов проверки экзаменационной работы предметной комиссией и К</w:t>
      </w:r>
      <w:r>
        <w:rPr>
          <w:rFonts w:ascii="Times New Roman" w:hAnsi="Times New Roman" w:cs="Times New Roman"/>
          <w:sz w:val="28"/>
          <w:szCs w:val="28"/>
        </w:rPr>
        <w:t xml:space="preserve">ИМ участников экзаменов, подавших апелляцию.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материалы предъявляются участникам экзаменов (в случае его присутствия при рассмотрении апелляции).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заседания конфликтной комиссии по рассмотрению апелляции о несогласии с выставленными баллами ко</w:t>
      </w:r>
      <w:r>
        <w:rPr>
          <w:rFonts w:ascii="Times New Roman" w:hAnsi="Times New Roman" w:cs="Times New Roman"/>
          <w:sz w:val="28"/>
          <w:szCs w:val="28"/>
        </w:rPr>
        <w:t xml:space="preserve">нфликтная комиссия устанавливает правильность оценивания экзаменационной работы обучающегося, подавшего апелляцию. Для этого к рассмотрению апелляции привлекается эксперт предметной комиссии по соответствующему учебному предмету. В случае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эксперт не д</w:t>
      </w:r>
      <w:r>
        <w:rPr>
          <w:rFonts w:ascii="Times New Roman" w:hAnsi="Times New Roman" w:cs="Times New Roman"/>
          <w:sz w:val="28"/>
          <w:szCs w:val="28"/>
        </w:rPr>
        <w:t xml:space="preserve">ает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апел</w:t>
      </w:r>
      <w:r>
        <w:rPr>
          <w:rFonts w:ascii="Times New Roman" w:hAnsi="Times New Roman" w:cs="Times New Roman"/>
          <w:sz w:val="28"/>
          <w:szCs w:val="28"/>
        </w:rPr>
        <w:t>ляции о несо</w:t>
      </w:r>
      <w:r w:rsidR="009A533D">
        <w:rPr>
          <w:rFonts w:ascii="Times New Roman" w:hAnsi="Times New Roman" w:cs="Times New Roman"/>
          <w:sz w:val="28"/>
          <w:szCs w:val="28"/>
        </w:rPr>
        <w:t xml:space="preserve">гласии с выставленными баллами </w:t>
      </w:r>
      <w:r>
        <w:rPr>
          <w:rFonts w:ascii="Times New Roman" w:hAnsi="Times New Roman" w:cs="Times New Roman"/>
          <w:sz w:val="28"/>
          <w:szCs w:val="28"/>
        </w:rPr>
        <w:t>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</w:t>
      </w:r>
      <w:r>
        <w:rPr>
          <w:rFonts w:ascii="Times New Roman" w:hAnsi="Times New Roman" w:cs="Times New Roman"/>
          <w:sz w:val="28"/>
          <w:szCs w:val="28"/>
        </w:rPr>
        <w:t xml:space="preserve">ии баллов (наличие технических ошибок и (или) ошибок оценивания экзаменационной работы). Баллы могут быть изменены как в сторону увеличения, так и в сторону уменьшения.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Апелляции о нарушении установленного порядка проведения ГИА и (или) 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несогласии с выс</w:t>
      </w:r>
      <w:r>
        <w:rPr>
          <w:rFonts w:ascii="Times New Roman" w:hAnsi="Times New Roman" w:cs="Times New Roman"/>
          <w:sz w:val="28"/>
          <w:szCs w:val="28"/>
        </w:rPr>
        <w:t>тавленными баллами могут быть отозваны участниками ГИА по их собственному желанию. Для этого участник ГИА пишет заявление об отзыве поданной им апелляции. Обучающиеся подают соответствующее заявление в письменной форме в образовательные организации, которы</w:t>
      </w:r>
      <w:r>
        <w:rPr>
          <w:rFonts w:ascii="Times New Roman" w:hAnsi="Times New Roman" w:cs="Times New Roman"/>
          <w:sz w:val="28"/>
          <w:szCs w:val="28"/>
        </w:rPr>
        <w:t xml:space="preserve">ми они были допущены в установленном порядке к ГИА.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заявления об отзыве поданной апелляции конфликтная комиссия рассматривает его апелляцию в установленном порядке. </w:t>
      </w:r>
    </w:p>
    <w:p w:rsidR="00965650" w:rsidRDefault="00965650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Информация подготовлена в соответствии со следующими нормативными пр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авовыми документами, регламентирующими проведение ГИА: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1. Федеральный закон от 29.12.2012 № 273-ФЗ «Об образовании в Российской Федерации». </w:t>
      </w:r>
    </w:p>
    <w:p w:rsidR="00965650" w:rsidRDefault="00A02029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 Приказ Министерства просвещения Российской Федерации и Федеральной службы по надзору в сфере образования и наук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 от 04.04.2023 № 232/551 «Об утверждении Порядка проведения государственной итоговой аттестации по образовательным программам основного общего образования» </w:t>
      </w:r>
    </w:p>
    <w:p w:rsidR="00965650" w:rsidRDefault="00965650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</w:rPr>
      </w:pPr>
    </w:p>
    <w:p w:rsidR="00965650" w:rsidRDefault="00965650">
      <w:pPr>
        <w:shd w:val="clear" w:color="auto" w:fill="FFFFFF"/>
        <w:spacing w:after="0" w:afterAutospacing="1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650" w:rsidRDefault="00A0202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правилами проведения ГИА-9 ознакомлен (а): </w:t>
      </w:r>
    </w:p>
    <w:p w:rsidR="00965650" w:rsidRDefault="00965650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650" w:rsidRDefault="00A0202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ГИА</w:t>
      </w:r>
    </w:p>
    <w:p w:rsidR="00965650" w:rsidRDefault="00A0202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___________________(________________</w:t>
      </w:r>
      <w:r>
        <w:rPr>
          <w:rFonts w:ascii="Times New Roman" w:hAnsi="Times New Roman" w:cs="Times New Roman"/>
          <w:sz w:val="28"/>
          <w:szCs w:val="28"/>
        </w:rPr>
        <w:t>_____)</w:t>
      </w:r>
    </w:p>
    <w:p w:rsidR="00965650" w:rsidRDefault="00A0202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______20___г. </w:t>
      </w:r>
    </w:p>
    <w:p w:rsidR="00965650" w:rsidRDefault="00965650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5650" w:rsidRDefault="00A0202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Родитель/законный представитель несовершеннолетнего участника ГИА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_____________________) </w:t>
      </w:r>
    </w:p>
    <w:p w:rsidR="00965650" w:rsidRDefault="00A02029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______20___г.</w:t>
      </w:r>
    </w:p>
    <w:p w:rsidR="00965650" w:rsidRDefault="0096565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9656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29" w:rsidRDefault="00A02029">
      <w:pPr>
        <w:spacing w:after="0" w:line="240" w:lineRule="auto"/>
      </w:pPr>
      <w:r>
        <w:separator/>
      </w:r>
    </w:p>
  </w:endnote>
  <w:endnote w:type="continuationSeparator" w:id="0">
    <w:p w:rsidR="00A02029" w:rsidRDefault="00A0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29" w:rsidRDefault="00A02029">
      <w:pPr>
        <w:spacing w:after="0" w:line="240" w:lineRule="auto"/>
      </w:pPr>
      <w:r>
        <w:separator/>
      </w:r>
    </w:p>
  </w:footnote>
  <w:footnote w:type="continuationSeparator" w:id="0">
    <w:p w:rsidR="00A02029" w:rsidRDefault="00A02029">
      <w:pPr>
        <w:spacing w:after="0" w:line="240" w:lineRule="auto"/>
      </w:pPr>
      <w:r>
        <w:continuationSeparator/>
      </w:r>
    </w:p>
  </w:footnote>
  <w:footnote w:id="1">
    <w:p w:rsidR="00965650" w:rsidRDefault="00A02029">
      <w:pPr>
        <w:pStyle w:val="af2"/>
      </w:pPr>
      <w:r>
        <w:rPr>
          <w:rStyle w:val="af4"/>
        </w:rPr>
        <w:footnoteRef/>
      </w:r>
      <w:r>
        <w:t xml:space="preserve"> Необходимость лекарств и питания определяется на этапе подачи заявления на экзамены при предъявлении рекомендаций психолого-медико-педагогической комиссии (ПМПК).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259"/>
    <w:multiLevelType w:val="hybridMultilevel"/>
    <w:tmpl w:val="166A6086"/>
    <w:lvl w:ilvl="0" w:tplc="698A342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000000"/>
        <w:sz w:val="24"/>
      </w:rPr>
    </w:lvl>
    <w:lvl w:ilvl="1" w:tplc="E6E8175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000000"/>
        <w:sz w:val="24"/>
      </w:rPr>
    </w:lvl>
    <w:lvl w:ilvl="2" w:tplc="C65EC19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000000"/>
        <w:sz w:val="24"/>
      </w:rPr>
    </w:lvl>
    <w:lvl w:ilvl="3" w:tplc="EDE293A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000000"/>
        <w:sz w:val="24"/>
      </w:rPr>
    </w:lvl>
    <w:lvl w:ilvl="4" w:tplc="B8529F0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000000"/>
        <w:sz w:val="24"/>
      </w:rPr>
    </w:lvl>
    <w:lvl w:ilvl="5" w:tplc="AEC0AFD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000000"/>
        <w:sz w:val="24"/>
      </w:rPr>
    </w:lvl>
    <w:lvl w:ilvl="6" w:tplc="D410FF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000000"/>
        <w:sz w:val="24"/>
      </w:rPr>
    </w:lvl>
    <w:lvl w:ilvl="7" w:tplc="3CE0EB5A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000000"/>
        <w:sz w:val="24"/>
      </w:rPr>
    </w:lvl>
    <w:lvl w:ilvl="8" w:tplc="746CBB1C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000000"/>
        <w:sz w:val="24"/>
      </w:rPr>
    </w:lvl>
  </w:abstractNum>
  <w:abstractNum w:abstractNumId="1" w15:restartNumberingAfterBreak="0">
    <w:nsid w:val="4AF44A29"/>
    <w:multiLevelType w:val="hybridMultilevel"/>
    <w:tmpl w:val="ABFA215E"/>
    <w:lvl w:ilvl="0" w:tplc="9FF05FAC">
      <w:start w:val="1"/>
      <w:numFmt w:val="decimal"/>
      <w:lvlText w:val="%1."/>
      <w:lvlJc w:val="left"/>
    </w:lvl>
    <w:lvl w:ilvl="1" w:tplc="D3108D4E">
      <w:start w:val="1"/>
      <w:numFmt w:val="lowerLetter"/>
      <w:lvlText w:val="%2."/>
      <w:lvlJc w:val="left"/>
      <w:pPr>
        <w:ind w:left="1440" w:hanging="360"/>
      </w:pPr>
    </w:lvl>
    <w:lvl w:ilvl="2" w:tplc="705298AC">
      <w:start w:val="1"/>
      <w:numFmt w:val="lowerRoman"/>
      <w:lvlText w:val="%3."/>
      <w:lvlJc w:val="right"/>
      <w:pPr>
        <w:ind w:left="2160" w:hanging="180"/>
      </w:pPr>
    </w:lvl>
    <w:lvl w:ilvl="3" w:tplc="8CE6C918">
      <w:start w:val="1"/>
      <w:numFmt w:val="decimal"/>
      <w:lvlText w:val="%4."/>
      <w:lvlJc w:val="left"/>
      <w:pPr>
        <w:ind w:left="2880" w:hanging="360"/>
      </w:pPr>
    </w:lvl>
    <w:lvl w:ilvl="4" w:tplc="3FF64AB6">
      <w:start w:val="1"/>
      <w:numFmt w:val="lowerLetter"/>
      <w:lvlText w:val="%5."/>
      <w:lvlJc w:val="left"/>
      <w:pPr>
        <w:ind w:left="3600" w:hanging="360"/>
      </w:pPr>
    </w:lvl>
    <w:lvl w:ilvl="5" w:tplc="B3CC1E3E">
      <w:start w:val="1"/>
      <w:numFmt w:val="lowerRoman"/>
      <w:lvlText w:val="%6."/>
      <w:lvlJc w:val="right"/>
      <w:pPr>
        <w:ind w:left="4320" w:hanging="180"/>
      </w:pPr>
    </w:lvl>
    <w:lvl w:ilvl="6" w:tplc="990CD596">
      <w:start w:val="1"/>
      <w:numFmt w:val="decimal"/>
      <w:lvlText w:val="%7."/>
      <w:lvlJc w:val="left"/>
      <w:pPr>
        <w:ind w:left="5040" w:hanging="360"/>
      </w:pPr>
    </w:lvl>
    <w:lvl w:ilvl="7" w:tplc="991C32F0">
      <w:start w:val="1"/>
      <w:numFmt w:val="lowerLetter"/>
      <w:lvlText w:val="%8."/>
      <w:lvlJc w:val="left"/>
      <w:pPr>
        <w:ind w:left="5760" w:hanging="360"/>
      </w:pPr>
    </w:lvl>
    <w:lvl w:ilvl="8" w:tplc="B0BA3E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76287B"/>
    <w:multiLevelType w:val="hybridMultilevel"/>
    <w:tmpl w:val="8276900E"/>
    <w:lvl w:ilvl="0" w:tplc="F1061B9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B57E422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36A4B88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B49443F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E10D56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842E808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ACE8C61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C88F6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2070EBE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3" w15:restartNumberingAfterBreak="0">
    <w:nsid w:val="6D1B71D2"/>
    <w:multiLevelType w:val="hybridMultilevel"/>
    <w:tmpl w:val="A0241066"/>
    <w:lvl w:ilvl="0" w:tplc="8968C266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741E11A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EB8E24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E23834C2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FDA0BD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44C8FD3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3DE27E3C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01AE726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A5A240A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50"/>
    <w:rsid w:val="00965650"/>
    <w:rsid w:val="009A533D"/>
    <w:rsid w:val="00A0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7A81"/>
  <w15:docId w15:val="{6D793D54-91F3-400F-AD1E-88A1EC42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Emphasis"/>
    <w:basedOn w:val="a0"/>
    <w:uiPriority w:val="20"/>
    <w:qFormat/>
    <w:rPr>
      <w:i/>
      <w:iCs/>
    </w:rPr>
  </w:style>
  <w:style w:type="paragraph" w:customStyle="1" w:styleId="13">
    <w:name w:val="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a41.ru/gia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ia41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2217</Words>
  <Characters>12640</Characters>
  <Application>Microsoft Office Word</Application>
  <DocSecurity>0</DocSecurity>
  <Lines>105</Lines>
  <Paragraphs>29</Paragraphs>
  <ScaleCrop>false</ScaleCrop>
  <Company/>
  <LinksUpToDate>false</LinksUpToDate>
  <CharactersWithSpaces>14828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Березина Виолета Васильевна</cp:lastModifiedBy>
  <cp:revision>8</cp:revision>
  <dcterms:created xsi:type="dcterms:W3CDTF">2021-12-14T10:50:00Z</dcterms:created>
  <dcterms:modified xsi:type="dcterms:W3CDTF">2023-12-19T00:45:00Z</dcterms:modified>
</cp:coreProperties>
</file>